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蛟河市白石山镇人民政府（本级）2025年部门预算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both"/>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lang w:val="en-US" w:eastAsia="zh-CN"/>
        </w:rPr>
      </w:pPr>
      <w:r>
        <w:rPr>
          <w:rFonts w:hint="eastAsia" w:ascii="黑体" w:hAnsi="黑体" w:eastAsia="黑体"/>
          <w:sz w:val="44"/>
          <w:szCs w:val="44"/>
          <w:highlight w:val="none"/>
          <w:lang w:val="en-US" w:eastAsia="zh-CN"/>
        </w:rPr>
        <w:t>蛟河市白石山镇人民政府（本级）</w:t>
      </w: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bookmarkStart w:id="0" w:name="_GoBack"/>
      <w:bookmarkEnd w:id="0"/>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名称：蛟河市白石山镇人民政府</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成立时间：2005年</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蛟河市白石山镇人民政府是基层国家行政机关，属行政机关性质。具有党委和政府两种职能，党委领导政府工作。主要是政治思想和方针政策的领导、干部的选拔、考核和监督、经济和行政工作中重大问题的决策。镇政府是基层国家行政机关，行使本行政区的行政职能。</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主要职能：参政议政   民主监督   政治协商</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主要业务：思</w:t>
      </w:r>
      <w:r>
        <w:rPr>
          <w:rFonts w:hint="eastAsia" w:ascii="仿宋" w:hAnsi="仿宋" w:eastAsia="仿宋"/>
          <w:kern w:val="0"/>
          <w:sz w:val="32"/>
          <w:szCs w:val="32"/>
        </w:rPr>
        <w:t>想建设、组织建设、参政议政、社会服务等。</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2"/>
        <w:ind w:firstLine="627" w:firstLineChars="196"/>
        <w:rPr>
          <w:rFonts w:ascii="仿宋" w:hAnsi="仿宋" w:eastAsia="仿宋"/>
          <w:kern w:val="0"/>
          <w:szCs w:val="32"/>
        </w:rPr>
      </w:pPr>
      <w:r>
        <w:rPr>
          <w:rFonts w:hint="eastAsia" w:ascii="仿宋" w:hAnsi="仿宋" w:eastAsia="仿宋"/>
          <w:kern w:val="0"/>
          <w:szCs w:val="32"/>
        </w:rPr>
        <w:t>机构设置包括：党建工作办公室、综合办公室、农业农村办公室、平安建设办公室、综合行政执法办公室、社会事务办公室、经济发展办公室、扶贫开发办公室。</w:t>
      </w:r>
    </w:p>
    <w:p>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人员情况：行政在编人员</w:t>
      </w:r>
      <w:r>
        <w:rPr>
          <w:rFonts w:hint="eastAsia" w:ascii="仿宋" w:hAnsi="仿宋" w:eastAsia="仿宋"/>
          <w:kern w:val="0"/>
          <w:szCs w:val="32"/>
          <w:lang w:val="en-US" w:eastAsia="zh-CN"/>
        </w:rPr>
        <w:t>28</w:t>
      </w:r>
      <w:r>
        <w:rPr>
          <w:rFonts w:hint="eastAsia" w:ascii="仿宋" w:hAnsi="仿宋" w:eastAsia="仿宋"/>
          <w:kern w:val="0"/>
          <w:szCs w:val="32"/>
        </w:rPr>
        <w:t>人，编制数 32 个，领导职数10个</w:t>
      </w:r>
      <w:r>
        <w:rPr>
          <w:rFonts w:hint="eastAsia" w:ascii="仿宋" w:hAnsi="仿宋" w:eastAsia="仿宋"/>
          <w:kern w:val="0"/>
          <w:szCs w:val="32"/>
          <w:lang w:eastAsia="zh-CN"/>
        </w:rPr>
        <w:t>。</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1399.52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487.42</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912.1</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项目增加</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1399.52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1270.17万元，占91%；上年结转 129.34万元，占9%。本年收入中，一般公共预算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1270.17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1399.52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453.17</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32.4</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946.35</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67.6</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1399.52</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1270.17万元，上年结转 129.34万元。支出包括：</w:t>
      </w:r>
      <w:r>
        <w:rPr>
          <w:rFonts w:hint="eastAsia" w:ascii="仿宋" w:hAnsi="仿宋" w:eastAsia="仿宋"/>
          <w:sz w:val="32"/>
          <w:szCs w:val="32"/>
          <w:highlight w:val="none"/>
        </w:rPr>
        <w:t>一般公共服务支</w:t>
      </w:r>
      <w:r>
        <w:rPr>
          <w:rFonts w:hint="eastAsia" w:ascii="仿宋" w:hAnsi="仿宋" w:eastAsia="仿宋"/>
          <w:sz w:val="32"/>
          <w:szCs w:val="32"/>
          <w:highlight w:val="none"/>
          <w:lang w:val="en-US" w:eastAsia="zh-CN"/>
        </w:rPr>
        <w:t>434.04</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85.87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16.81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农林水支出817.11万元，资源勘探工业信息等支出3.6万元，灾害防治及应急管理支出15.32万元，</w:t>
      </w:r>
      <w:r>
        <w:rPr>
          <w:rFonts w:hint="eastAsia" w:ascii="仿宋" w:hAnsi="仿宋" w:eastAsia="仿宋"/>
          <w:sz w:val="32"/>
          <w:szCs w:val="32"/>
          <w:highlight w:val="none"/>
        </w:rPr>
        <w:t>住房保障支出</w:t>
      </w:r>
      <w:r>
        <w:rPr>
          <w:rFonts w:hint="eastAsia" w:ascii="仿宋" w:hAnsi="仿宋" w:eastAsia="仿宋"/>
          <w:sz w:val="32"/>
          <w:szCs w:val="32"/>
          <w:highlight w:val="none"/>
          <w:lang w:val="en-US" w:eastAsia="zh-CN"/>
        </w:rPr>
        <w:t>26.75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537.19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426.78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79</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110.41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21</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400.2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94</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52.98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434.04 万元，占80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政府一般公共服务。</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85.87 万元，占15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单位保险类等支出。</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16.81万元，占3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政府医保类等支出。</w:t>
      </w:r>
    </w:p>
    <w:p>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住房保障（类）支出26.75万元，占5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行政住房公基金。</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2025年一般公共预算基本支出453.17万元，其中：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400.2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52.98</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4.7 </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1.5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val="en-US" w:eastAsia="zh-CN"/>
        </w:rPr>
        <w:t>与上年相同</w:t>
      </w:r>
      <w:r>
        <w:rPr>
          <w:rFonts w:hint="eastAsia" w:ascii="仿宋" w:hAnsi="仿宋" w:eastAsia="仿宋"/>
          <w:kern w:val="0"/>
          <w:sz w:val="32"/>
          <w:szCs w:val="32"/>
          <w:highlight w:val="none"/>
          <w:lang w:eastAsia="zh-CN"/>
        </w:rPr>
        <w:t>。</w:t>
      </w:r>
    </w:p>
    <w:p>
      <w:pPr>
        <w:pStyle w:val="9"/>
        <w:ind w:firstLine="627" w:firstLineChars="196"/>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3.2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 xml:space="preserve">3.2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与上年相同</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与上年相同</w:t>
      </w:r>
      <w:r>
        <w:rPr>
          <w:rFonts w:hint="eastAsia" w:ascii="仿宋" w:hAnsi="仿宋" w:eastAsia="仿宋"/>
          <w:kern w:val="0"/>
          <w:sz w:val="32"/>
          <w:szCs w:val="32"/>
          <w:highlight w:val="none"/>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lang w:val="en-US" w:eastAsia="zh-CN"/>
        </w:rPr>
        <w:t>110.42万元</w:t>
      </w:r>
      <w:r>
        <w:rPr>
          <w:rFonts w:hint="eastAsia" w:ascii="仿宋" w:hAnsi="仿宋" w:eastAsia="仿宋"/>
          <w:sz w:val="32"/>
          <w:szCs w:val="32"/>
          <w:highlight w:val="none"/>
          <w:lang w:eastAsia="zh-CN"/>
        </w:rPr>
        <w:t>。</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家行政单位机关运行经费财政拨款预算</w:t>
      </w:r>
      <w:r>
        <w:rPr>
          <w:rFonts w:hint="eastAsia" w:ascii="仿宋" w:hAnsi="仿宋" w:eastAsia="仿宋"/>
          <w:sz w:val="32"/>
          <w:szCs w:val="32"/>
          <w:highlight w:val="none"/>
          <w:lang w:val="en-US" w:eastAsia="zh-CN"/>
        </w:rPr>
        <w:t xml:space="preserve"> 453.17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0.07</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0.02</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人员增加</w:t>
      </w:r>
      <w:r>
        <w:rPr>
          <w:rFonts w:hint="eastAsia" w:ascii="仿宋" w:hAnsi="仿宋" w:eastAsia="仿宋"/>
          <w:sz w:val="32"/>
          <w:szCs w:val="32"/>
          <w:highlight w:val="none"/>
          <w:lang w:eastAsia="zh-CN"/>
        </w:rPr>
        <w:t>。</w:t>
      </w:r>
    </w:p>
    <w:p>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,增长/下降0%，主要原因是无</w:t>
      </w:r>
      <w:r>
        <w:rPr>
          <w:rFonts w:hint="eastAsia" w:ascii="仿宋" w:hAnsi="仿宋" w:eastAsia="仿宋"/>
          <w:kern w:val="0"/>
          <w:sz w:val="32"/>
          <w:szCs w:val="32"/>
          <w:highlight w:val="none"/>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1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万元，项目内容为****主要目标为****。同时，将预算项目绩效目标进一步细化为绩效指标和指标值（附预算项目绩效目标申报表）。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 w:hAnsi="仿宋" w:eastAsia="仿宋"/>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780C8E"/>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420D69"/>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9361662"/>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2839</Words>
  <Characters>3090</Characters>
  <Lines>19</Lines>
  <Paragraphs>5</Paragraphs>
  <TotalTime>1</TotalTime>
  <ScaleCrop>false</ScaleCrop>
  <LinksUpToDate>false</LinksUpToDate>
  <CharactersWithSpaces>3266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2025-01-23T01:59:05Z</cp:lastPrinted>
  <dcterms:modified xsi:type="dcterms:W3CDTF">2025-01-23T01:59:12Z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